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00FD" w14:textId="77777777" w:rsidR="005A7C75" w:rsidRDefault="005A7C75" w:rsidP="005A7C75">
      <w:pPr>
        <w:pStyle w:val="Title"/>
        <w:rPr>
          <w:sz w:val="32"/>
        </w:rPr>
      </w:pPr>
      <w:bookmarkStart w:id="0" w:name="_Hlk478038356"/>
      <w:r>
        <w:rPr>
          <w:sz w:val="32"/>
        </w:rPr>
        <w:t xml:space="preserve">NOTICE </w:t>
      </w:r>
      <w:r w:rsidRPr="00D15629">
        <w:rPr>
          <w:sz w:val="32"/>
        </w:rPr>
        <w:t xml:space="preserve">OF </w:t>
      </w:r>
      <w:r>
        <w:rPr>
          <w:sz w:val="32"/>
        </w:rPr>
        <w:t xml:space="preserve">SPECIAL MEETING </w:t>
      </w:r>
    </w:p>
    <w:p w14:paraId="3430C300" w14:textId="09A52D03" w:rsidR="005A7C75" w:rsidRDefault="00504629" w:rsidP="005A7C75">
      <w:pPr>
        <w:pStyle w:val="Title"/>
        <w:rPr>
          <w:sz w:val="32"/>
        </w:rPr>
      </w:pPr>
      <w:r>
        <w:rPr>
          <w:sz w:val="32"/>
        </w:rPr>
        <w:t>DECEMBER 10</w:t>
      </w:r>
      <w:r w:rsidR="005A7C75">
        <w:rPr>
          <w:sz w:val="32"/>
        </w:rPr>
        <w:t>, 2018</w:t>
      </w:r>
    </w:p>
    <w:p w14:paraId="4E22DBB7" w14:textId="77777777" w:rsidR="005A7C75" w:rsidRDefault="005A7C75" w:rsidP="005A7C75">
      <w:pPr>
        <w:jc w:val="center"/>
        <w:rPr>
          <w:b/>
          <w:sz w:val="28"/>
        </w:rPr>
      </w:pPr>
      <w:r>
        <w:rPr>
          <w:b/>
          <w:sz w:val="28"/>
        </w:rPr>
        <w:t>HUNTING HILL METROPOLITAN DISTRICT</w:t>
      </w:r>
    </w:p>
    <w:bookmarkEnd w:id="0"/>
    <w:p w14:paraId="2A53EC53" w14:textId="77777777" w:rsidR="005A7C75" w:rsidRDefault="005A7C75" w:rsidP="005A7C75">
      <w:pPr>
        <w:ind w:firstLine="720"/>
        <w:jc w:val="both"/>
      </w:pPr>
    </w:p>
    <w:p w14:paraId="709DF4C1" w14:textId="44752F5D" w:rsidR="005A7C75" w:rsidRDefault="005A7C75" w:rsidP="005A7C75">
      <w:pPr>
        <w:spacing w:line="360" w:lineRule="auto"/>
        <w:ind w:firstLine="720"/>
        <w:jc w:val="both"/>
      </w:pPr>
      <w:r>
        <w:t xml:space="preserve">NOTICE IS HEREBY GIVEN that the Board of Directors of the </w:t>
      </w:r>
      <w:r>
        <w:rPr>
          <w:b/>
        </w:rPr>
        <w:t xml:space="preserve">HUNTING HILL METROPOLITAN </w:t>
      </w:r>
      <w:r w:rsidRPr="00C97E82">
        <w:rPr>
          <w:b/>
        </w:rPr>
        <w:t>D</w:t>
      </w:r>
      <w:r>
        <w:rPr>
          <w:b/>
          <w:spacing w:val="-3"/>
        </w:rPr>
        <w:t>ISTRICT</w:t>
      </w:r>
      <w:r>
        <w:rPr>
          <w:b/>
        </w:rPr>
        <w:t xml:space="preserve">, </w:t>
      </w:r>
      <w:r>
        <w:t xml:space="preserve">of the County of Douglas, State of Colorado, will hold a special meeting at </w:t>
      </w:r>
      <w:r w:rsidR="00504629">
        <w:t>1</w:t>
      </w:r>
      <w:r>
        <w:t xml:space="preserve">:00 P.M., on </w:t>
      </w:r>
      <w:r w:rsidR="00504629">
        <w:t>Monday</w:t>
      </w:r>
      <w:r>
        <w:t xml:space="preserve">, </w:t>
      </w:r>
      <w:r w:rsidR="00504629">
        <w:t>December 10</w:t>
      </w:r>
      <w:r>
        <w:t xml:space="preserve">, 2018 at </w:t>
      </w:r>
      <w:r w:rsidR="00504629">
        <w:t xml:space="preserve">Verona Clubhouse, 2429 Primo Road, </w:t>
      </w:r>
      <w:r>
        <w:t xml:space="preserve">Highlands Ranch, Colorado for the purpose of conducting such business as may come before the Board.  These meetings are open to the public.  </w:t>
      </w:r>
    </w:p>
    <w:p w14:paraId="76C390B0" w14:textId="77777777" w:rsidR="005A7C75" w:rsidRPr="0064069D" w:rsidRDefault="005A7C75" w:rsidP="005A7C75">
      <w:pPr>
        <w:suppressAutoHyphens/>
        <w:jc w:val="center"/>
        <w:rPr>
          <w:b/>
          <w:spacing w:val="-3"/>
        </w:rPr>
      </w:pPr>
      <w:r>
        <w:rPr>
          <w:b/>
          <w:spacing w:val="-3"/>
          <w:u w:val="single"/>
        </w:rPr>
        <w:t xml:space="preserve">Special Meeting </w:t>
      </w:r>
      <w:r w:rsidRPr="0064069D">
        <w:rPr>
          <w:b/>
          <w:spacing w:val="-3"/>
          <w:u w:val="single"/>
        </w:rPr>
        <w:t>Agenda</w:t>
      </w:r>
    </w:p>
    <w:p w14:paraId="27AB6958" w14:textId="77777777" w:rsidR="00504629" w:rsidRPr="00DB3F15" w:rsidRDefault="00504629" w:rsidP="00504629">
      <w:pPr>
        <w:rPr>
          <w:szCs w:val="24"/>
        </w:rPr>
      </w:pPr>
    </w:p>
    <w:p w14:paraId="75F50FC9" w14:textId="77777777" w:rsidR="00504629" w:rsidRPr="00DB3F15" w:rsidRDefault="00504629" w:rsidP="00504629">
      <w:pPr>
        <w:pStyle w:val="Lis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DB3F15">
        <w:rPr>
          <w:rFonts w:ascii="Times New Roman" w:hAnsi="Times New Roman"/>
          <w:szCs w:val="24"/>
        </w:rPr>
        <w:t>Call To Order/Declaration of Quorum</w:t>
      </w:r>
    </w:p>
    <w:p w14:paraId="1876E1AB" w14:textId="77777777" w:rsidR="00504629" w:rsidRPr="00AF183B" w:rsidRDefault="00504629" w:rsidP="0050462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Directors Matters/Disclosure Matters</w:t>
      </w:r>
    </w:p>
    <w:p w14:paraId="049883EF" w14:textId="77777777" w:rsidR="00504629" w:rsidRPr="00DB3F15" w:rsidRDefault="00504629" w:rsidP="00504629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B3F15">
        <w:rPr>
          <w:color w:val="000000"/>
          <w:szCs w:val="24"/>
        </w:rPr>
        <w:t>Approval of/Additions To/Deletions From the Agenda</w:t>
      </w:r>
    </w:p>
    <w:p w14:paraId="20C90A84" w14:textId="77777777" w:rsidR="00504629" w:rsidRPr="00DB3F15" w:rsidRDefault="00504629" w:rsidP="00504629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B3F15">
        <w:rPr>
          <w:color w:val="000000"/>
          <w:szCs w:val="24"/>
        </w:rPr>
        <w:t>Public Comment For Matters Not on Agenda</w:t>
      </w:r>
    </w:p>
    <w:p w14:paraId="6D773C4E" w14:textId="77777777" w:rsidR="00504629" w:rsidRPr="00DB3F15" w:rsidRDefault="00504629" w:rsidP="0050462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Approval of Minutes</w:t>
      </w:r>
    </w:p>
    <w:p w14:paraId="12516AEF" w14:textId="77777777" w:rsidR="00504629" w:rsidRPr="00DB3F15" w:rsidRDefault="00504629" w:rsidP="00504629">
      <w:pPr>
        <w:numPr>
          <w:ilvl w:val="1"/>
          <w:numId w:val="3"/>
        </w:numPr>
        <w:tabs>
          <w:tab w:val="left" w:pos="-720"/>
          <w:tab w:val="left" w:pos="0"/>
          <w:tab w:val="left" w:pos="1080"/>
        </w:tabs>
        <w:suppressAutoHyphens/>
        <w:jc w:val="both"/>
        <w:rPr>
          <w:szCs w:val="24"/>
        </w:rPr>
      </w:pPr>
      <w:r>
        <w:rPr>
          <w:szCs w:val="24"/>
        </w:rPr>
        <w:t>Consider approval of September 10, 2018 regular meeting minutes</w:t>
      </w:r>
    </w:p>
    <w:p w14:paraId="431402EB" w14:textId="77777777" w:rsidR="00504629" w:rsidRDefault="00504629" w:rsidP="0050462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Management Report</w:t>
      </w:r>
    </w:p>
    <w:p w14:paraId="71C0DAA5" w14:textId="77777777" w:rsidR="00504629" w:rsidRDefault="00504629" w:rsidP="00504629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Transfer of Irrigation Tap</w:t>
      </w:r>
    </w:p>
    <w:p w14:paraId="0E90CDA7" w14:textId="77777777" w:rsidR="00504629" w:rsidRDefault="00504629" w:rsidP="00504629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L</w:t>
      </w:r>
      <w:r w:rsidRPr="00237FF9">
        <w:rPr>
          <w:szCs w:val="24"/>
        </w:rPr>
        <w:t xml:space="preserve">andscape </w:t>
      </w:r>
      <w:r>
        <w:rPr>
          <w:szCs w:val="24"/>
        </w:rPr>
        <w:t>C</w:t>
      </w:r>
      <w:r w:rsidRPr="00237FF9">
        <w:rPr>
          <w:szCs w:val="24"/>
        </w:rPr>
        <w:t xml:space="preserve">ommittee </w:t>
      </w:r>
      <w:r>
        <w:rPr>
          <w:szCs w:val="24"/>
        </w:rPr>
        <w:t>R</w:t>
      </w:r>
      <w:r w:rsidRPr="00237FF9">
        <w:rPr>
          <w:szCs w:val="24"/>
        </w:rPr>
        <w:t>eport</w:t>
      </w:r>
    </w:p>
    <w:p w14:paraId="5A9DED6C" w14:textId="77777777" w:rsidR="00504629" w:rsidRDefault="00504629" w:rsidP="0050462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Legal Matters</w:t>
      </w:r>
    </w:p>
    <w:p w14:paraId="77AA3DCB" w14:textId="77777777" w:rsidR="00504629" w:rsidRDefault="00504629" w:rsidP="00504629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Approval of 2019 Annual Administrative Resolution</w:t>
      </w:r>
    </w:p>
    <w:p w14:paraId="591194B9" w14:textId="77777777" w:rsidR="00504629" w:rsidRDefault="00504629" w:rsidP="00504629">
      <w:pPr>
        <w:numPr>
          <w:ilvl w:val="2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Election of Officers</w:t>
      </w:r>
    </w:p>
    <w:p w14:paraId="12836057" w14:textId="77777777" w:rsidR="00504629" w:rsidRDefault="00504629" w:rsidP="00504629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886182">
        <w:rPr>
          <w:szCs w:val="24"/>
        </w:rPr>
        <w:t xml:space="preserve">Update Regarding </w:t>
      </w:r>
      <w:r>
        <w:rPr>
          <w:szCs w:val="24"/>
        </w:rPr>
        <w:t>Refunding of General Obligation Limited Tax Bonds, Series 2007</w:t>
      </w:r>
    </w:p>
    <w:p w14:paraId="5513A8FE" w14:textId="77777777" w:rsidR="00504629" w:rsidRDefault="00504629" w:rsidP="00504629">
      <w:pPr>
        <w:numPr>
          <w:ilvl w:val="2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Ratify engagement of CliftonLarsonAllen LLP for financial forecast</w:t>
      </w:r>
    </w:p>
    <w:p w14:paraId="6E470BBC" w14:textId="77777777" w:rsidR="00504629" w:rsidRDefault="00504629" w:rsidP="00504629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Acceptance of</w:t>
      </w:r>
      <w:r w:rsidRPr="00886182">
        <w:rPr>
          <w:szCs w:val="24"/>
        </w:rPr>
        <w:t xml:space="preserve"> Maintenance Easement Agreements</w:t>
      </w:r>
    </w:p>
    <w:p w14:paraId="369A27FA" w14:textId="77777777" w:rsidR="00504629" w:rsidRPr="00886182" w:rsidRDefault="00504629" w:rsidP="00504629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Resolution Determining Not to Provide Workers’ Compensation Insurance Coverage for Uncompensated Members of the Board of Directors</w:t>
      </w:r>
    </w:p>
    <w:p w14:paraId="3C90C383" w14:textId="77777777" w:rsidR="00504629" w:rsidRPr="00DB3F15" w:rsidRDefault="00504629" w:rsidP="0050462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Financial Matters</w:t>
      </w:r>
    </w:p>
    <w:p w14:paraId="18A95B93" w14:textId="77777777" w:rsidR="00504629" w:rsidRDefault="00504629" w:rsidP="00504629">
      <w:pPr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 w:rsidRPr="00DB3F15">
        <w:rPr>
          <w:szCs w:val="24"/>
        </w:rPr>
        <w:t>Payment/Ratification of Claims</w:t>
      </w:r>
    </w:p>
    <w:p w14:paraId="342AC7DB" w14:textId="77777777" w:rsidR="00504629" w:rsidRDefault="00504629" w:rsidP="00504629">
      <w:pPr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>
        <w:rPr>
          <w:szCs w:val="24"/>
        </w:rPr>
        <w:t>Consider approval of Financial Statements</w:t>
      </w:r>
    </w:p>
    <w:p w14:paraId="6841F1E6" w14:textId="77777777" w:rsidR="00504629" w:rsidRDefault="00504629" w:rsidP="00504629">
      <w:pPr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>
        <w:rPr>
          <w:szCs w:val="24"/>
        </w:rPr>
        <w:t>Conduct Public Hearing on Amendment to 2018 Budget</w:t>
      </w:r>
    </w:p>
    <w:p w14:paraId="44EA007C" w14:textId="77777777" w:rsidR="00504629" w:rsidRDefault="00504629" w:rsidP="00504629">
      <w:pPr>
        <w:numPr>
          <w:ilvl w:val="2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>
        <w:rPr>
          <w:szCs w:val="24"/>
        </w:rPr>
        <w:t>Consider approval of 2018 Resolution to Amend Budget</w:t>
      </w:r>
    </w:p>
    <w:p w14:paraId="60217F85" w14:textId="77777777" w:rsidR="00504629" w:rsidRDefault="00504629" w:rsidP="00504629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1440"/>
        </w:tabs>
        <w:jc w:val="both"/>
        <w:rPr>
          <w:szCs w:val="24"/>
        </w:rPr>
      </w:pPr>
      <w:r>
        <w:rPr>
          <w:szCs w:val="24"/>
        </w:rPr>
        <w:t>Conduct Public Hearing on Proposed 2019 Budget</w:t>
      </w:r>
    </w:p>
    <w:p w14:paraId="0025EF6E" w14:textId="77777777" w:rsidR="00504629" w:rsidRPr="00AB038D" w:rsidRDefault="00504629" w:rsidP="00504629">
      <w:pPr>
        <w:pStyle w:val="ListParagraph"/>
        <w:numPr>
          <w:ilvl w:val="2"/>
          <w:numId w:val="3"/>
        </w:numPr>
        <w:tabs>
          <w:tab w:val="left" w:pos="-1080"/>
          <w:tab w:val="left" w:pos="-720"/>
          <w:tab w:val="left" w:pos="0"/>
          <w:tab w:val="left" w:pos="1440"/>
        </w:tabs>
        <w:jc w:val="both"/>
        <w:rPr>
          <w:szCs w:val="24"/>
        </w:rPr>
      </w:pPr>
      <w:r>
        <w:rPr>
          <w:szCs w:val="24"/>
        </w:rPr>
        <w:t>Consider approval of Proposed 2019 Budget, Appropriate Sums of Money and Certify Mill Levies</w:t>
      </w:r>
    </w:p>
    <w:p w14:paraId="3ABC4B0D" w14:textId="77777777" w:rsidR="00504629" w:rsidRPr="00DB3F15" w:rsidRDefault="00504629" w:rsidP="0050462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Other Business</w:t>
      </w:r>
    </w:p>
    <w:p w14:paraId="6497FD53" w14:textId="77777777" w:rsidR="00504629" w:rsidRDefault="00504629" w:rsidP="00504629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Engagement of Dazzio &amp; Associates, P.C. to perform 2018 audit</w:t>
      </w:r>
    </w:p>
    <w:p w14:paraId="35DE3D8F" w14:textId="77777777" w:rsidR="00504629" w:rsidRDefault="00504629" w:rsidP="00504629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Engagement of Icenogle Seaver Pogue, P.C. for 2019 legal services</w:t>
      </w:r>
    </w:p>
    <w:p w14:paraId="29EC59B6" w14:textId="77777777" w:rsidR="00504629" w:rsidRPr="00727C08" w:rsidRDefault="00504629" w:rsidP="00504629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727C08">
        <w:rPr>
          <w:szCs w:val="24"/>
        </w:rPr>
        <w:t>Capital Expenditures for Improvements</w:t>
      </w:r>
      <w:r>
        <w:rPr>
          <w:szCs w:val="24"/>
        </w:rPr>
        <w:t xml:space="preserve"> (</w:t>
      </w:r>
      <w:r w:rsidRPr="00727C08">
        <w:rPr>
          <w:szCs w:val="24"/>
        </w:rPr>
        <w:t>Entry Monument and Lighting</w:t>
      </w:r>
      <w:r>
        <w:rPr>
          <w:szCs w:val="24"/>
        </w:rPr>
        <w:t>)</w:t>
      </w:r>
    </w:p>
    <w:p w14:paraId="3BBCD727" w14:textId="77777777" w:rsidR="00504629" w:rsidRPr="00DB3F15" w:rsidRDefault="00504629" w:rsidP="0050462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B3F15">
        <w:rPr>
          <w:szCs w:val="24"/>
        </w:rPr>
        <w:t>Adjournment</w:t>
      </w:r>
    </w:p>
    <w:p w14:paraId="18769B02" w14:textId="77777777" w:rsidR="005A7C75" w:rsidRPr="00E841FD" w:rsidRDefault="005A7C75" w:rsidP="005A7C75">
      <w:pPr>
        <w:tabs>
          <w:tab w:val="left" w:pos="-720"/>
          <w:tab w:val="left" w:pos="0"/>
        </w:tabs>
        <w:suppressAutoHyphens/>
        <w:jc w:val="both"/>
      </w:pPr>
    </w:p>
    <w:p w14:paraId="192568D5" w14:textId="77777777" w:rsidR="005A7C75" w:rsidRDefault="005A7C75" w:rsidP="005A7C75">
      <w:pPr>
        <w:ind w:left="720" w:firstLine="720"/>
        <w:jc w:val="both"/>
      </w:pPr>
      <w:r>
        <w:tab/>
      </w:r>
      <w:r>
        <w:tab/>
      </w:r>
      <w:r>
        <w:tab/>
      </w:r>
      <w:r>
        <w:rPr>
          <w:spacing w:val="-3"/>
        </w:rPr>
        <w:t>BY ORDER OF THE BOARD OF DIRECTORS:</w:t>
      </w:r>
    </w:p>
    <w:p w14:paraId="4B336355" w14:textId="77777777" w:rsidR="005A7C75" w:rsidRDefault="005A7C75" w:rsidP="005A7C75">
      <w:pPr>
        <w:ind w:left="2880" w:firstLine="720"/>
        <w:jc w:val="both"/>
      </w:pPr>
      <w:r>
        <w:t>HUNTING HILL METROPOLITAN DISTRICT</w:t>
      </w:r>
    </w:p>
    <w:p w14:paraId="0D769750" w14:textId="77777777" w:rsidR="005A7C75" w:rsidRDefault="005A7C75" w:rsidP="005A7C75">
      <w:pPr>
        <w:ind w:left="2160"/>
        <w:jc w:val="both"/>
      </w:pPr>
    </w:p>
    <w:p w14:paraId="19978CF7" w14:textId="77777777" w:rsidR="005A7C75" w:rsidRDefault="005A7C75" w:rsidP="005A7C75">
      <w:pPr>
        <w:ind w:left="2880" w:firstLine="720"/>
        <w:jc w:val="both"/>
      </w:pPr>
      <w:r>
        <w:t>By:  /s/ ICENOGLE SEAVER POGUE</w:t>
      </w:r>
    </w:p>
    <w:p w14:paraId="66079C58" w14:textId="77777777" w:rsidR="005A7C75" w:rsidRDefault="005A7C75" w:rsidP="005A7C75">
      <w:pPr>
        <w:ind w:left="2880" w:firstLine="720"/>
        <w:jc w:val="both"/>
      </w:pPr>
      <w:r>
        <w:t>A Professional Corporation</w:t>
      </w:r>
    </w:p>
    <w:p w14:paraId="4D05DA26" w14:textId="77777777" w:rsidR="005A7C75" w:rsidRDefault="005A7C75" w:rsidP="005A7C75">
      <w:pPr>
        <w:ind w:left="2880" w:firstLine="720"/>
        <w:jc w:val="both"/>
      </w:pPr>
      <w:r>
        <w:t>General Counsel to the District</w:t>
      </w:r>
      <w:bookmarkStart w:id="1" w:name="_GoBack"/>
      <w:bookmarkEnd w:id="1"/>
    </w:p>
    <w:sectPr w:rsidR="005A7C75" w:rsidSect="005046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9BE"/>
    <w:multiLevelType w:val="hybridMultilevel"/>
    <w:tmpl w:val="BCDA9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9F6600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5907DC0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7527A"/>
    <w:multiLevelType w:val="hybridMultilevel"/>
    <w:tmpl w:val="E9CAA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2E0251"/>
    <w:multiLevelType w:val="hybridMultilevel"/>
    <w:tmpl w:val="D11C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3"/>
    <w:multiLevelType w:val="hybridMultilevel"/>
    <w:tmpl w:val="42A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0E3E"/>
    <w:multiLevelType w:val="hybridMultilevel"/>
    <w:tmpl w:val="B61CC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B8"/>
    <w:rsid w:val="00014A68"/>
    <w:rsid w:val="000228C8"/>
    <w:rsid w:val="000A22CB"/>
    <w:rsid w:val="000B2B45"/>
    <w:rsid w:val="000B7DB8"/>
    <w:rsid w:val="000F1F36"/>
    <w:rsid w:val="000F67D0"/>
    <w:rsid w:val="001D4573"/>
    <w:rsid w:val="00210198"/>
    <w:rsid w:val="00217A32"/>
    <w:rsid w:val="003277ED"/>
    <w:rsid w:val="00354240"/>
    <w:rsid w:val="003C7FBE"/>
    <w:rsid w:val="004262F4"/>
    <w:rsid w:val="00465B1B"/>
    <w:rsid w:val="004717A6"/>
    <w:rsid w:val="00473499"/>
    <w:rsid w:val="004A0E20"/>
    <w:rsid w:val="004B170A"/>
    <w:rsid w:val="004B6FCE"/>
    <w:rsid w:val="004C7B76"/>
    <w:rsid w:val="00504629"/>
    <w:rsid w:val="0056158E"/>
    <w:rsid w:val="0059089A"/>
    <w:rsid w:val="005A3917"/>
    <w:rsid w:val="005A7C75"/>
    <w:rsid w:val="005C3C5F"/>
    <w:rsid w:val="0071360B"/>
    <w:rsid w:val="0072284C"/>
    <w:rsid w:val="00727C08"/>
    <w:rsid w:val="007370DF"/>
    <w:rsid w:val="007840AF"/>
    <w:rsid w:val="007E575A"/>
    <w:rsid w:val="008110E6"/>
    <w:rsid w:val="0083659E"/>
    <w:rsid w:val="00860ED7"/>
    <w:rsid w:val="009041B1"/>
    <w:rsid w:val="00916AA2"/>
    <w:rsid w:val="009212B6"/>
    <w:rsid w:val="00971AF1"/>
    <w:rsid w:val="009B5B98"/>
    <w:rsid w:val="00A03A9C"/>
    <w:rsid w:val="00A70EA0"/>
    <w:rsid w:val="00A743FC"/>
    <w:rsid w:val="00A97F60"/>
    <w:rsid w:val="00AD25E0"/>
    <w:rsid w:val="00AF183B"/>
    <w:rsid w:val="00B316E6"/>
    <w:rsid w:val="00B5380C"/>
    <w:rsid w:val="00B56F02"/>
    <w:rsid w:val="00BA2529"/>
    <w:rsid w:val="00C02027"/>
    <w:rsid w:val="00C452D7"/>
    <w:rsid w:val="00CC48B7"/>
    <w:rsid w:val="00CD1C8B"/>
    <w:rsid w:val="00CE7758"/>
    <w:rsid w:val="00D16294"/>
    <w:rsid w:val="00D46A38"/>
    <w:rsid w:val="00DB0A1A"/>
    <w:rsid w:val="00DB3F15"/>
    <w:rsid w:val="00E14A86"/>
    <w:rsid w:val="00E26320"/>
    <w:rsid w:val="00E326CB"/>
    <w:rsid w:val="00E423B1"/>
    <w:rsid w:val="00E569FE"/>
    <w:rsid w:val="00E94CC4"/>
    <w:rsid w:val="00EA2DC2"/>
    <w:rsid w:val="00EA56C2"/>
    <w:rsid w:val="00EB2937"/>
    <w:rsid w:val="00F429FA"/>
    <w:rsid w:val="00F46979"/>
    <w:rsid w:val="00F75B17"/>
    <w:rsid w:val="00FA058D"/>
    <w:rsid w:val="00FB4C4E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0BB5"/>
  <w15:docId w15:val="{D9B29841-2520-47AD-9D70-D48DE1C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0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54240"/>
    <w:pPr>
      <w:keepNext/>
      <w:tabs>
        <w:tab w:val="left" w:pos="-1080"/>
        <w:tab w:val="left" w:pos="-720"/>
        <w:tab w:val="left" w:pos="0"/>
        <w:tab w:val="left" w:pos="720"/>
        <w:tab w:val="left" w:pos="1440"/>
      </w:tabs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54240"/>
    <w:pPr>
      <w:keepNext/>
      <w:pBdr>
        <w:top w:val="single" w:sz="12" w:space="1" w:color="auto"/>
        <w:bottom w:val="single" w:sz="12" w:space="1" w:color="auto"/>
      </w:pBdr>
      <w:tabs>
        <w:tab w:val="center" w:pos="5040"/>
      </w:tabs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02"/>
    <w:pPr>
      <w:ind w:left="720"/>
      <w:contextualSpacing/>
    </w:pPr>
  </w:style>
  <w:style w:type="character" w:styleId="CommentReference">
    <w:name w:val="annotation reference"/>
    <w:rsid w:val="000B7D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DB8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DB8"/>
    <w:rPr>
      <w:rFonts w:ascii="Courier" w:hAnsi="Courier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B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CB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2CB"/>
    <w:rPr>
      <w:rFonts w:ascii="Courier" w:hAnsi="Courier"/>
      <w:b/>
      <w:bCs/>
      <w:snapToGrid/>
      <w:sz w:val="20"/>
      <w:szCs w:val="20"/>
    </w:rPr>
  </w:style>
  <w:style w:type="paragraph" w:styleId="BodyText2">
    <w:name w:val="Body Text 2"/>
    <w:basedOn w:val="Normal"/>
    <w:link w:val="BodyText2Char"/>
    <w:rsid w:val="00354240"/>
    <w:pPr>
      <w:pBdr>
        <w:top w:val="single" w:sz="12" w:space="1" w:color="auto"/>
        <w:bottom w:val="single" w:sz="12" w:space="1" w:color="auto"/>
      </w:pBdr>
      <w:tabs>
        <w:tab w:val="center" w:pos="5040"/>
      </w:tabs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354240"/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354240"/>
    <w:rPr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354240"/>
    <w:rPr>
      <w:b/>
      <w:snapToGrid w:val="0"/>
      <w:szCs w:val="20"/>
    </w:rPr>
  </w:style>
  <w:style w:type="paragraph" w:styleId="List">
    <w:name w:val="List"/>
    <w:basedOn w:val="Normal"/>
    <w:rsid w:val="00354240"/>
    <w:pPr>
      <w:widowControl w:val="0"/>
      <w:ind w:left="360" w:hanging="360"/>
    </w:pPr>
    <w:rPr>
      <w:rFonts w:ascii="Courier" w:hAnsi="Courier"/>
      <w:snapToGrid w:val="0"/>
      <w:szCs w:val="20"/>
    </w:rPr>
  </w:style>
  <w:style w:type="paragraph" w:styleId="Title">
    <w:name w:val="Title"/>
    <w:basedOn w:val="Normal"/>
    <w:link w:val="TitleChar"/>
    <w:qFormat/>
    <w:rsid w:val="005A7C75"/>
    <w:pPr>
      <w:tabs>
        <w:tab w:val="center" w:pos="4680"/>
      </w:tabs>
      <w:suppressAutoHyphens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5A7C75"/>
    <w:rPr>
      <w:b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Donette B. Hunter</dc:creator>
  <cp:lastModifiedBy>Donette Hunter</cp:lastModifiedBy>
  <cp:revision>3</cp:revision>
  <cp:lastPrinted>2012-10-25T23:06:00Z</cp:lastPrinted>
  <dcterms:created xsi:type="dcterms:W3CDTF">2018-11-30T23:31:00Z</dcterms:created>
  <dcterms:modified xsi:type="dcterms:W3CDTF">2018-11-30T23:36:00Z</dcterms:modified>
</cp:coreProperties>
</file>